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D64CF8">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F82F6E" w:rsidRDefault="00F82F6E">
            <w:pPr>
              <w:jc w:val="center"/>
              <w:rPr>
                <w:rFonts w:ascii="Arial" w:hAnsi="Arial"/>
                <w:lang w:val="en-GB"/>
              </w:rPr>
            </w:pPr>
          </w:p>
          <w:p w:rsidR="00F82F6E" w:rsidRDefault="00F82F6E">
            <w:pPr>
              <w:jc w:val="center"/>
              <w:rPr>
                <w:rFonts w:ascii="Arial" w:hAnsi="Arial"/>
                <w:lang w:val="en-GB"/>
              </w:rPr>
            </w:pPr>
          </w:p>
          <w:p w:rsidR="00F82F6E" w:rsidRDefault="00F82F6E">
            <w:pPr>
              <w:pStyle w:val="Heading1"/>
              <w:rPr>
                <w:rFonts w:ascii="Arial" w:hAnsi="Arial"/>
                <w:sz w:val="28"/>
                <w:u w:val="none"/>
              </w:rPr>
            </w:pPr>
            <w:proofErr w:type="gramStart"/>
            <w:r>
              <w:rPr>
                <w:rFonts w:ascii="Arial" w:hAnsi="Arial"/>
                <w:sz w:val="28"/>
                <w:u w:val="none"/>
              </w:rPr>
              <w:t>COURSE  OUTLINE</w:t>
            </w:r>
            <w:proofErr w:type="gramEnd"/>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460" w:type="dxa"/>
          </w:tcPr>
          <w:p w:rsidR="00F82F6E" w:rsidRDefault="0027672A" w:rsidP="0027672A">
            <w:pPr>
              <w:rPr>
                <w:rFonts w:ascii="Arial" w:hAnsi="Arial"/>
              </w:rPr>
            </w:pPr>
            <w:r>
              <w:rPr>
                <w:rFonts w:ascii="Arial" w:hAnsi="Arial"/>
              </w:rPr>
              <w:t>Dec 2010</w:t>
            </w:r>
          </w:p>
        </w:tc>
        <w:tc>
          <w:tcPr>
            <w:tcW w:w="3600" w:type="dxa"/>
            <w:gridSpan w:val="2"/>
          </w:tcPr>
          <w:p w:rsidR="00F82F6E" w:rsidRDefault="00F82F6E">
            <w:pPr>
              <w:rPr>
                <w:rFonts w:ascii="Arial" w:hAnsi="Arial"/>
              </w:rPr>
            </w:pPr>
            <w:r>
              <w:rPr>
                <w:rFonts w:ascii="Arial" w:hAnsi="Arial"/>
                <w:b/>
                <w:lang w:val="en-GB"/>
              </w:rPr>
              <w:t>PREVIOUS OUTLINE DATED:</w:t>
            </w:r>
          </w:p>
        </w:tc>
        <w:tc>
          <w:tcPr>
            <w:tcW w:w="1278" w:type="dxa"/>
            <w:gridSpan w:val="2"/>
          </w:tcPr>
          <w:p w:rsidR="00F82F6E" w:rsidRDefault="00432851" w:rsidP="0027672A">
            <w:pPr>
              <w:rPr>
                <w:rFonts w:ascii="Arial" w:hAnsi="Arial"/>
              </w:rPr>
            </w:pPr>
            <w:r>
              <w:rPr>
                <w:rFonts w:ascii="Arial" w:hAnsi="Arial"/>
              </w:rPr>
              <w:t>May 20</w:t>
            </w:r>
            <w:r w:rsidR="0027672A">
              <w:rPr>
                <w:rFonts w:ascii="Arial" w:hAnsi="Arial"/>
              </w:rPr>
              <w:t>10</w:t>
            </w:r>
          </w:p>
        </w:tc>
      </w:tr>
      <w:tr w:rsidR="00F82F6E">
        <w:trPr>
          <w:cantSplit/>
        </w:trPr>
        <w:tc>
          <w:tcPr>
            <w:tcW w:w="2518" w:type="dxa"/>
          </w:tcPr>
          <w:p w:rsidR="00F82F6E" w:rsidRDefault="00F82F6E">
            <w:pPr>
              <w:rPr>
                <w:rFonts w:ascii="Arial" w:hAnsi="Arial"/>
              </w:rPr>
            </w:pPr>
            <w:r>
              <w:rPr>
                <w:rFonts w:ascii="Arial" w:hAnsi="Arial"/>
                <w:b/>
                <w:lang w:val="en-GB"/>
              </w:rPr>
              <w:t>APPROVED:</w:t>
            </w:r>
          </w:p>
        </w:tc>
        <w:tc>
          <w:tcPr>
            <w:tcW w:w="5060" w:type="dxa"/>
            <w:gridSpan w:val="3"/>
          </w:tcPr>
          <w:p w:rsidR="00F82F6E" w:rsidRDefault="009925BD">
            <w:pPr>
              <w:jc w:val="center"/>
              <w:rPr>
                <w:rFonts w:ascii="Arial" w:hAnsi="Arial"/>
              </w:rPr>
            </w:pPr>
            <w:r>
              <w:rPr>
                <w:rFonts w:ascii="Arial" w:hAnsi="Arial"/>
              </w:rPr>
              <w:t>“Angelique Lemay”</w:t>
            </w:r>
          </w:p>
        </w:tc>
        <w:tc>
          <w:tcPr>
            <w:tcW w:w="1278" w:type="dxa"/>
            <w:gridSpan w:val="2"/>
          </w:tcPr>
          <w:p w:rsidR="00F82F6E" w:rsidRDefault="00C47840">
            <w:pPr>
              <w:rPr>
                <w:rFonts w:ascii="Arial" w:hAnsi="Arial"/>
              </w:rPr>
            </w:pPr>
            <w:r>
              <w:rPr>
                <w:rFonts w:ascii="Arial" w:hAnsi="Arial"/>
              </w:rPr>
              <w:t>Jan/11</w:t>
            </w:r>
          </w:p>
        </w:tc>
      </w:tr>
      <w:tr w:rsidR="00F82F6E">
        <w:trPr>
          <w:cantSplit/>
        </w:trPr>
        <w:tc>
          <w:tcPr>
            <w:tcW w:w="2518" w:type="dxa"/>
          </w:tcPr>
          <w:p w:rsidR="00F82F6E" w:rsidRDefault="00F82F6E">
            <w:pPr>
              <w:rPr>
                <w:rFonts w:ascii="Arial" w:hAnsi="Arial"/>
              </w:rPr>
            </w:pPr>
          </w:p>
        </w:tc>
        <w:tc>
          <w:tcPr>
            <w:tcW w:w="506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E23E8D">
            <w:pPr>
              <w:pStyle w:val="Heading2"/>
              <w:rPr>
                <w:rFonts w:ascii="Arial" w:hAnsi="Arial"/>
                <w:lang w:val="en-US"/>
              </w:rPr>
            </w:pPr>
            <w:r>
              <w:rPr>
                <w:rFonts w:ascii="Arial" w:hAnsi="Arial"/>
                <w:lang w:val="en-US"/>
              </w:rPr>
              <w:t>CHAIR</w:t>
            </w:r>
          </w:p>
        </w:tc>
        <w:tc>
          <w:tcPr>
            <w:tcW w:w="127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200</w:t>
            </w:r>
            <w:r w:rsidR="00D64CF8">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82F6E">
        <w:trPr>
          <w:cantSplit/>
        </w:trPr>
        <w:tc>
          <w:tcPr>
            <w:tcW w:w="8856" w:type="dxa"/>
            <w:gridSpan w:val="6"/>
          </w:tcPr>
          <w:p w:rsidR="00F82F6E" w:rsidRDefault="00F82F6E">
            <w:pPr>
              <w:pStyle w:val="Heading2"/>
              <w:tabs>
                <w:tab w:val="center" w:pos="4560"/>
              </w:tabs>
              <w:rPr>
                <w:rFonts w:ascii="Arial" w:hAnsi="Arial"/>
                <w:b w:val="0"/>
              </w:rPr>
            </w:pPr>
            <w:r>
              <w:rPr>
                <w:rFonts w:ascii="Arial" w:hAnsi="Arial"/>
                <w:b w:val="0"/>
                <w:i/>
              </w:rPr>
              <w:t xml:space="preserve">For additional information, please contact </w:t>
            </w:r>
            <w:r w:rsidR="00F67009">
              <w:rPr>
                <w:rFonts w:ascii="Arial" w:hAnsi="Arial"/>
                <w:b w:val="0"/>
                <w:i/>
              </w:rPr>
              <w:t xml:space="preserve">the </w:t>
            </w:r>
            <w:r w:rsidR="00E23E8D">
              <w:rPr>
                <w:rFonts w:ascii="Arial" w:hAnsi="Arial"/>
                <w:b w:val="0"/>
                <w:i/>
              </w:rPr>
              <w:t>Chair</w:t>
            </w:r>
            <w:r w:rsidR="003865E8">
              <w:rPr>
                <w:rFonts w:ascii="Arial" w:hAnsi="Arial"/>
                <w:b w:val="0"/>
                <w:i/>
              </w:rPr>
              <w:t>, Community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9C3DC5">
                  <w:rPr>
                    <w:rFonts w:ascii="Arial" w:hAnsi="Arial"/>
                    <w:i/>
                    <w:lang w:val="en-GB"/>
                  </w:rPr>
                  <w:t>Health</w:t>
                </w:r>
              </w:smartTag>
            </w:smartTag>
            <w:r w:rsidR="009C3DC5">
              <w:rPr>
                <w:rFonts w:ascii="Arial" w:hAnsi="Arial"/>
                <w:i/>
                <w:lang w:val="en-GB"/>
              </w:rPr>
              <w:t xml:space="preserve"> and </w:t>
            </w:r>
            <w:r w:rsidR="00E23E8D">
              <w:rPr>
                <w:rFonts w:ascii="Arial" w:hAnsi="Arial"/>
                <w:i/>
                <w:lang w:val="en-GB"/>
              </w:rPr>
              <w:t>Community</w:t>
            </w:r>
            <w:r w:rsidR="009C3DC5">
              <w:rPr>
                <w:rFonts w:ascii="Arial" w:hAnsi="Arial"/>
                <w:i/>
                <w:lang w:val="en-GB"/>
              </w:rPr>
              <w:t xml:space="preserve">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r>
              <w:rPr>
                <w:rFonts w:ascii="Arial" w:hAnsi="Arial"/>
                <w:i/>
                <w:lang w:val="en-GB"/>
              </w:rPr>
              <w:t>(705) 759-2554, Ext.</w:t>
            </w:r>
            <w:r w:rsidR="009C3DC5">
              <w:rPr>
                <w:rFonts w:ascii="Arial" w:hAnsi="Arial"/>
                <w:i/>
                <w:lang w:val="en-GB"/>
              </w:rPr>
              <w:t>26</w:t>
            </w:r>
            <w:r w:rsidR="00F67009">
              <w:rPr>
                <w:rFonts w:ascii="Arial" w:hAnsi="Arial"/>
                <w:i/>
                <w:lang w:val="en-GB"/>
              </w:rPr>
              <w:t>03</w:t>
            </w: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r w:rsidR="001E68AE">
              <w:rPr>
                <w:rFonts w:ascii="Arial" w:hAnsi="Arial"/>
              </w:rPr>
              <w:t xml:space="preserve">well being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defence</w:t>
            </w:r>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defence.</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proofErr w:type="gramStart"/>
            <w:r w:rsidR="00333EC8">
              <w:rPr>
                <w:rFonts w:ascii="Arial" w:hAnsi="Arial"/>
              </w:rPr>
              <w:t>Freedoms as it applies</w:t>
            </w:r>
            <w:proofErr w:type="gramEnd"/>
            <w:r w:rsidR="00333EC8">
              <w:rPr>
                <w:rFonts w:ascii="Arial" w:hAnsi="Arial"/>
              </w:rPr>
              <w:t xml:space="preserve">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proofErr w:type="gramStart"/>
            <w:r w:rsidR="00333EC8">
              <w:rPr>
                <w:rFonts w:ascii="Arial" w:hAnsi="Arial"/>
              </w:rPr>
              <w:t>freedoms</w:t>
            </w:r>
            <w:proofErr w:type="gramEnd"/>
            <w:r w:rsidR="00333EC8">
              <w:rPr>
                <w:rFonts w:ascii="Arial" w:hAnsi="Arial"/>
              </w:rPr>
              <w:t xml:space="preserve">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Analyze and recreate a visual representation of the Use of Force model including all sub-elements to the situation, behaviour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defence</w:t>
            </w:r>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State the legal authority for use of a baton for self defence</w:t>
            </w:r>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mpty hand self defence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demonstrate an effective interview stance and the reactionary gaps required for first defence</w:t>
            </w:r>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demonstrate effective grounding techniques and ground defence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w:t>
            </w:r>
            <w:proofErr w:type="gramStart"/>
            <w:r w:rsidRPr="00DC7066">
              <w:rPr>
                <w:rFonts w:ascii="Arial" w:hAnsi="Arial"/>
                <w:b/>
              </w:rPr>
              <w:t xml:space="preserve">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proofErr w:type="gramEnd"/>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F67009" w:rsidRDefault="00F67009">
      <w:pPr>
        <w:rPr>
          <w:rFonts w:ascii="Arial" w:hAnsi="Arial"/>
        </w:rPr>
      </w:pPr>
    </w:p>
    <w:p w:rsidR="00843071" w:rsidRDefault="00843071" w:rsidP="00843071">
      <w:pPr>
        <w:rPr>
          <w:rFonts w:ascii="Arial" w:hAnsi="Arial"/>
        </w:rPr>
      </w:pPr>
    </w:p>
    <w:tbl>
      <w:tblPr>
        <w:tblW w:w="0" w:type="auto"/>
        <w:tblLayout w:type="fixed"/>
        <w:tblLook w:val="000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tbl>
      <w:tblPr>
        <w:tblW w:w="0" w:type="auto"/>
        <w:tblLayout w:type="fixed"/>
        <w:tblLook w:val="000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Tr="0060416D">
        <w:trPr>
          <w:gridAfter w:val="1"/>
          <w:wAfter w:w="18" w:type="dxa"/>
          <w:cantSplit/>
        </w:trPr>
        <w:tc>
          <w:tcPr>
            <w:tcW w:w="8838" w:type="dxa"/>
            <w:gridSpan w:val="2"/>
          </w:tcPr>
          <w:p w:rsidR="00843071" w:rsidRDefault="00843071" w:rsidP="0060416D">
            <w:pPr>
              <w:rPr>
                <w:rFonts w:ascii="Arial" w:hAnsi="Arial"/>
              </w:rPr>
            </w:pPr>
            <w:r>
              <w:rPr>
                <w:rFonts w:ascii="Arial" w:hAnsi="Arial"/>
                <w:u w:val="single"/>
              </w:rPr>
              <w:t>Course Outline Amendments</w:t>
            </w:r>
            <w:r>
              <w:rPr>
                <w:rFonts w:ascii="Arial" w:hAnsi="Arial"/>
              </w:rPr>
              <w:t>:</w:t>
            </w:r>
          </w:p>
          <w:p w:rsidR="00843071" w:rsidRDefault="00843071" w:rsidP="0060416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Default="00843071" w:rsidP="0060416D">
            <w:pPr>
              <w:rPr>
                <w:rFonts w:ascii="Arial" w:hAnsi="Arial"/>
              </w:rPr>
            </w:pPr>
            <w:r>
              <w:rPr>
                <w:rFonts w:ascii="Arial" w:hAnsi="Arial"/>
                <w:u w:val="single"/>
              </w:rPr>
              <w:t>Retention of Course Outlines</w:t>
            </w:r>
            <w:r>
              <w:rPr>
                <w:rFonts w:ascii="Arial" w:hAnsi="Arial"/>
              </w:rPr>
              <w:t>:</w:t>
            </w:r>
          </w:p>
          <w:p w:rsidR="00843071" w:rsidRDefault="00843071" w:rsidP="0060416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Default="00843071" w:rsidP="0060416D">
            <w:pPr>
              <w:rPr>
                <w:rFonts w:ascii="Arial" w:hAnsi="Arial"/>
                <w:b/>
              </w:rPr>
            </w:pPr>
            <w:r w:rsidRPr="00173273">
              <w:rPr>
                <w:rFonts w:ascii="Arial" w:hAnsi="Arial"/>
                <w:u w:val="single"/>
              </w:rPr>
              <w:t>Prior Learning Assessment</w:t>
            </w:r>
            <w:r>
              <w:rPr>
                <w:rFonts w:ascii="Arial" w:hAnsi="Arial"/>
                <w:b/>
              </w:rPr>
              <w:t>:</w:t>
            </w:r>
          </w:p>
          <w:p w:rsidR="00843071" w:rsidRPr="00532940" w:rsidRDefault="00843071" w:rsidP="0060416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843071" w:rsidRDefault="00843071" w:rsidP="0060416D">
            <w:pPr>
              <w:rPr>
                <w:rFonts w:ascii="Arial" w:hAnsi="Arial"/>
              </w:rPr>
            </w:pPr>
          </w:p>
          <w:p w:rsidR="00843071" w:rsidRDefault="00843071" w:rsidP="0060416D">
            <w:pPr>
              <w:rPr>
                <w:rFonts w:ascii="Arial" w:hAnsi="Arial"/>
              </w:rPr>
            </w:pPr>
            <w:r>
              <w:rPr>
                <w:rFonts w:ascii="Arial" w:hAnsi="Arial"/>
              </w:rPr>
              <w:t>Credit for prior learning will also be given upon successful completion of a challenge exam or portfolio.</w:t>
            </w:r>
          </w:p>
          <w:p w:rsidR="00843071" w:rsidRDefault="00843071" w:rsidP="0060416D">
            <w:pPr>
              <w:rPr>
                <w:rFonts w:ascii="Arial" w:hAnsi="Arial"/>
              </w:rPr>
            </w:pPr>
          </w:p>
          <w:p w:rsidR="00843071" w:rsidRDefault="00843071" w:rsidP="0060416D">
            <w:pPr>
              <w:rPr>
                <w:rFonts w:ascii="Arial" w:hAnsi="Arial"/>
              </w:rPr>
            </w:pPr>
            <w:r>
              <w:rPr>
                <w:rFonts w:ascii="Arial" w:hAnsi="Arial"/>
              </w:rPr>
              <w:t>Substitute course information is available in the Registrar's office.</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Default="00843071" w:rsidP="0060416D">
            <w:pPr>
              <w:rPr>
                <w:rFonts w:ascii="Arial" w:hAnsi="Arial"/>
              </w:rPr>
            </w:pPr>
            <w:r>
              <w:rPr>
                <w:rFonts w:ascii="Arial" w:hAnsi="Arial"/>
                <w:u w:val="single"/>
              </w:rPr>
              <w:lastRenderedPageBreak/>
              <w:t>Disability Services</w:t>
            </w:r>
            <w:r>
              <w:rPr>
                <w:rFonts w:ascii="Arial" w:hAnsi="Arial"/>
              </w:rPr>
              <w:t>:</w:t>
            </w:r>
          </w:p>
          <w:p w:rsidR="00843071" w:rsidRDefault="00843071" w:rsidP="0060416D">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43071" w:rsidRDefault="00843071" w:rsidP="0060416D">
            <w:pPr>
              <w:rPr>
                <w:rFonts w:ascii="Arial" w:hAnsi="Arial"/>
              </w:rPr>
            </w:pPr>
          </w:p>
        </w:tc>
      </w:tr>
      <w:tr w:rsidR="00843071" w:rsidTr="0060416D">
        <w:trPr>
          <w:gridAfter w:val="1"/>
          <w:wAfter w:w="18" w:type="dxa"/>
          <w:cantSplit/>
        </w:trPr>
        <w:tc>
          <w:tcPr>
            <w:tcW w:w="8838" w:type="dxa"/>
            <w:gridSpan w:val="2"/>
          </w:tcPr>
          <w:p w:rsidR="00843071" w:rsidRPr="00B835FC" w:rsidRDefault="00843071" w:rsidP="0060416D">
            <w:pPr>
              <w:rPr>
                <w:rFonts w:ascii="Arial" w:hAnsi="Arial"/>
                <w:u w:val="single"/>
              </w:rPr>
            </w:pPr>
            <w:r w:rsidRPr="00B835FC">
              <w:rPr>
                <w:rFonts w:ascii="Arial" w:hAnsi="Arial"/>
                <w:u w:val="single"/>
              </w:rPr>
              <w:t>Communication:</w:t>
            </w:r>
          </w:p>
          <w:p w:rsidR="00843071" w:rsidRPr="00E25868" w:rsidRDefault="00843071" w:rsidP="0060416D">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Pr="007E0EB5" w:rsidRDefault="00843071" w:rsidP="0060416D">
            <w:pPr>
              <w:rPr>
                <w:rFonts w:ascii="Arial" w:hAnsi="Arial"/>
              </w:rPr>
            </w:pPr>
            <w:r w:rsidRPr="007E0EB5">
              <w:rPr>
                <w:rFonts w:ascii="Arial" w:hAnsi="Arial"/>
                <w:u w:val="single"/>
              </w:rPr>
              <w:t>Plagiarism</w:t>
            </w:r>
            <w:r w:rsidRPr="007E0EB5">
              <w:rPr>
                <w:rFonts w:ascii="Arial" w:hAnsi="Arial"/>
              </w:rPr>
              <w:t>:</w:t>
            </w:r>
          </w:p>
          <w:p w:rsidR="00843071" w:rsidRPr="007E0EB5" w:rsidRDefault="00843071" w:rsidP="0060416D">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Student Portal:</w:t>
            </w:r>
          </w:p>
          <w:p w:rsidR="00843071" w:rsidRPr="007E0EB5" w:rsidRDefault="00843071" w:rsidP="0060416D">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8" w:history="1">
              <w:r w:rsidRPr="007E0EB5">
                <w:rPr>
                  <w:rStyle w:val="Hyperlink"/>
                  <w:rFonts w:ascii="Arial" w:hAnsi="Arial" w:cs="Arial"/>
                  <w:szCs w:val="24"/>
                </w:rPr>
                <w:t>https://my.saultcollege.ca</w:t>
              </w:r>
            </w:hyperlink>
            <w:r w:rsidRPr="007E0EB5">
              <w:rPr>
                <w:rFonts w:ascii="Arial" w:hAnsi="Arial" w:cs="Arial"/>
                <w:szCs w:val="24"/>
              </w:rPr>
              <w:t>.</w:t>
            </w:r>
          </w:p>
          <w:p w:rsidR="00843071" w:rsidRPr="007E0EB5" w:rsidRDefault="00843071" w:rsidP="0060416D">
            <w:pPr>
              <w:rPr>
                <w:rFonts w:ascii="Arial" w:hAnsi="Arial" w:cs="Arial"/>
                <w:b/>
                <w:i/>
                <w:iCs/>
                <w:color w:val="000000"/>
                <w:szCs w:val="24"/>
              </w:rPr>
            </w:pPr>
            <w:r w:rsidRPr="007E0EB5">
              <w:rPr>
                <w:i/>
                <w:sz w:val="20"/>
              </w:rPr>
              <w:t xml:space="preserve"> </w:t>
            </w: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lang w:eastAsia="en-CA"/>
              </w:rPr>
            </w:pPr>
            <w:r w:rsidRPr="007E0EB5">
              <w:rPr>
                <w:rFonts w:ascii="Arial" w:hAnsi="Arial" w:cs="Arial"/>
                <w:szCs w:val="24"/>
                <w:u w:val="single"/>
                <w:lang w:eastAsia="en-CA"/>
              </w:rPr>
              <w:lastRenderedPageBreak/>
              <w:t>Electronic Devices in the Classroom:</w:t>
            </w:r>
          </w:p>
          <w:p w:rsidR="00843071" w:rsidRPr="007E0EB5" w:rsidRDefault="00843071" w:rsidP="0060416D">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843071" w:rsidRPr="007E0EB5" w:rsidRDefault="00843071" w:rsidP="0060416D">
            <w:pPr>
              <w:rPr>
                <w:rFonts w:ascii="Arial" w:hAnsi="Arial" w:cs="Arial"/>
                <w:b/>
                <w:i/>
                <w:iCs/>
                <w:color w:val="000000"/>
                <w:szCs w:val="24"/>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Pr="007E0EB5" w:rsidRDefault="00843071" w:rsidP="0060416D">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rPr>
                <w:rFonts w:ascii="Arial" w:hAnsi="Arial" w:cs="Arial"/>
                <w:szCs w:val="24"/>
                <w:u w:val="single"/>
              </w:rPr>
            </w:pPr>
          </w:p>
          <w:p w:rsidR="00843071" w:rsidRDefault="00843071" w:rsidP="00843071">
            <w:pPr>
              <w:pStyle w:val="EnvelopeReturn"/>
              <w:jc w:val="center"/>
            </w:pPr>
            <w:r>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pStyle w:val="EnvelopeReturn"/>
            </w:pPr>
          </w:p>
          <w:p w:rsidR="00843071" w:rsidRDefault="00843071" w:rsidP="00843071">
            <w:pPr>
              <w:rPr>
                <w:rFonts w:ascii="Arial" w:hAnsi="Arial" w:cs="Arial"/>
                <w:szCs w:val="24"/>
                <w:u w:val="single"/>
              </w:rPr>
            </w:pPr>
          </w:p>
          <w:p w:rsidR="00843071" w:rsidRDefault="00843071" w:rsidP="00843071">
            <w:pPr>
              <w:rPr>
                <w:rFonts w:ascii="Arial" w:hAnsi="Arial" w:cs="Arial"/>
                <w:szCs w:val="24"/>
                <w:u w:val="single"/>
              </w:rPr>
            </w:pPr>
          </w:p>
        </w:tc>
      </w:tr>
    </w:tbl>
    <w:p w:rsidR="00843071" w:rsidRDefault="00843071" w:rsidP="00843071">
      <w:pPr>
        <w:pStyle w:val="EnvelopeReturn"/>
      </w:pPr>
    </w:p>
    <w:p w:rsidR="00240EB4" w:rsidRDefault="00240EB4" w:rsidP="00240EB4">
      <w:pPr>
        <w:rPr>
          <w:rFonts w:ascii="Arial" w:hAnsi="Arial"/>
        </w:rPr>
      </w:pPr>
    </w:p>
    <w:sectPr w:rsidR="00240EB4" w:rsidSect="00F67009">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EE0" w:rsidRDefault="00D17EE0">
      <w:r>
        <w:separator/>
      </w:r>
    </w:p>
  </w:endnote>
  <w:endnote w:type="continuationSeparator" w:id="0">
    <w:p w:rsidR="00D17EE0" w:rsidRDefault="00D17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EE0" w:rsidRDefault="00D17EE0">
      <w:r>
        <w:separator/>
      </w:r>
    </w:p>
  </w:footnote>
  <w:footnote w:type="continuationSeparator" w:id="0">
    <w:p w:rsidR="00D17EE0" w:rsidRDefault="00D17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E0" w:rsidRDefault="002D4B36">
    <w:pPr>
      <w:pStyle w:val="Header"/>
      <w:framePr w:wrap="around" w:vAnchor="text" w:hAnchor="margin" w:xAlign="center" w:y="1"/>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D17EE0">
      <w:rPr>
        <w:rStyle w:val="PageNumber"/>
        <w:noProof/>
      </w:rPr>
      <w:t>8</w:t>
    </w:r>
    <w:r>
      <w:rPr>
        <w:rStyle w:val="PageNumber"/>
      </w:rPr>
      <w:fldChar w:fldCharType="end"/>
    </w:r>
  </w:p>
  <w:p w:rsidR="00D17EE0" w:rsidRDefault="00D17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D17EE0">
      <w:tc>
        <w:tcPr>
          <w:tcW w:w="3794" w:type="dxa"/>
        </w:tcPr>
        <w:p w:rsidR="00D17EE0" w:rsidRDefault="00D17EE0">
          <w:pPr>
            <w:rPr>
              <w:rFonts w:ascii="Arial" w:hAnsi="Arial"/>
              <w:snapToGrid w:val="0"/>
            </w:rPr>
          </w:pPr>
          <w:r>
            <w:rPr>
              <w:rFonts w:ascii="Arial" w:hAnsi="Arial"/>
              <w:snapToGrid w:val="0"/>
            </w:rPr>
            <w:t>Security Practices and Personal Safety</w:t>
          </w:r>
        </w:p>
        <w:p w:rsidR="00D17EE0" w:rsidRDefault="00D17EE0">
          <w:pPr>
            <w:rPr>
              <w:rFonts w:ascii="Arial" w:hAnsi="Arial"/>
              <w:snapToGrid w:val="0"/>
            </w:rPr>
          </w:pPr>
        </w:p>
      </w:tc>
      <w:tc>
        <w:tcPr>
          <w:tcW w:w="1134" w:type="dxa"/>
        </w:tcPr>
        <w:p w:rsidR="00D17EE0" w:rsidRDefault="002D4B36" w:rsidP="00F67009">
          <w:pPr>
            <w:pStyle w:val="Header"/>
            <w:jc w:val="center"/>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C47840">
            <w:rPr>
              <w:rStyle w:val="PageNumber"/>
              <w:noProof/>
            </w:rPr>
            <w:t>8</w:t>
          </w:r>
          <w:r>
            <w:rPr>
              <w:rStyle w:val="PageNumber"/>
            </w:rPr>
            <w:fldChar w:fldCharType="end"/>
          </w:r>
        </w:p>
        <w:p w:rsidR="00D17EE0" w:rsidRDefault="00D17EE0">
          <w:pPr>
            <w:pStyle w:val="Header"/>
            <w:jc w:val="center"/>
            <w:rPr>
              <w:rFonts w:ascii="Arial" w:hAnsi="Arial"/>
              <w:snapToGrid w:val="0"/>
            </w:rPr>
          </w:pPr>
        </w:p>
      </w:tc>
      <w:tc>
        <w:tcPr>
          <w:tcW w:w="3928" w:type="dxa"/>
        </w:tcPr>
        <w:p w:rsidR="00D17EE0" w:rsidRDefault="00D17EE0">
          <w:pPr>
            <w:pStyle w:val="Header"/>
            <w:jc w:val="right"/>
            <w:rPr>
              <w:rFonts w:ascii="Arial" w:hAnsi="Arial"/>
              <w:snapToGrid w:val="0"/>
            </w:rPr>
          </w:pPr>
          <w:r>
            <w:rPr>
              <w:rFonts w:ascii="Arial" w:hAnsi="Arial"/>
              <w:snapToGrid w:val="0"/>
            </w:rPr>
            <w:t>CJS 230</w:t>
          </w:r>
        </w:p>
      </w:tc>
    </w:tr>
  </w:tbl>
  <w:p w:rsidR="00D17EE0" w:rsidRDefault="00D17EE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1D92"/>
    <w:rsid w:val="00016247"/>
    <w:rsid w:val="00096C55"/>
    <w:rsid w:val="000C11BE"/>
    <w:rsid w:val="0014254B"/>
    <w:rsid w:val="001E194E"/>
    <w:rsid w:val="001E68AE"/>
    <w:rsid w:val="002241CE"/>
    <w:rsid w:val="00240EB4"/>
    <w:rsid w:val="0027672A"/>
    <w:rsid w:val="00290054"/>
    <w:rsid w:val="002C0C78"/>
    <w:rsid w:val="002D4B36"/>
    <w:rsid w:val="00333EC8"/>
    <w:rsid w:val="0037417B"/>
    <w:rsid w:val="003764F1"/>
    <w:rsid w:val="003865E8"/>
    <w:rsid w:val="00391B9A"/>
    <w:rsid w:val="003E600A"/>
    <w:rsid w:val="00432851"/>
    <w:rsid w:val="00445BE4"/>
    <w:rsid w:val="004A3105"/>
    <w:rsid w:val="004A6658"/>
    <w:rsid w:val="004E75C9"/>
    <w:rsid w:val="00515938"/>
    <w:rsid w:val="005758AA"/>
    <w:rsid w:val="005E25E1"/>
    <w:rsid w:val="0060416D"/>
    <w:rsid w:val="00696C59"/>
    <w:rsid w:val="006C3BAC"/>
    <w:rsid w:val="00721D92"/>
    <w:rsid w:val="00735793"/>
    <w:rsid w:val="00771327"/>
    <w:rsid w:val="007B0434"/>
    <w:rsid w:val="007F683F"/>
    <w:rsid w:val="00843071"/>
    <w:rsid w:val="0086379A"/>
    <w:rsid w:val="00882F2B"/>
    <w:rsid w:val="008C173C"/>
    <w:rsid w:val="00925EB9"/>
    <w:rsid w:val="009925BD"/>
    <w:rsid w:val="00994F13"/>
    <w:rsid w:val="009A316B"/>
    <w:rsid w:val="009A634A"/>
    <w:rsid w:val="009C3DC5"/>
    <w:rsid w:val="009F72AC"/>
    <w:rsid w:val="00A54931"/>
    <w:rsid w:val="00A75A86"/>
    <w:rsid w:val="00AA6B18"/>
    <w:rsid w:val="00B779AF"/>
    <w:rsid w:val="00B97CED"/>
    <w:rsid w:val="00BF4383"/>
    <w:rsid w:val="00C16093"/>
    <w:rsid w:val="00C47840"/>
    <w:rsid w:val="00C67FF7"/>
    <w:rsid w:val="00C769CB"/>
    <w:rsid w:val="00D06621"/>
    <w:rsid w:val="00D17EE0"/>
    <w:rsid w:val="00D64CF8"/>
    <w:rsid w:val="00D83733"/>
    <w:rsid w:val="00DC7066"/>
    <w:rsid w:val="00DF0C4B"/>
    <w:rsid w:val="00E01AA9"/>
    <w:rsid w:val="00E131AC"/>
    <w:rsid w:val="00E23E8D"/>
    <w:rsid w:val="00E62D8B"/>
    <w:rsid w:val="00ED032A"/>
    <w:rsid w:val="00F150B2"/>
    <w:rsid w:val="00F67009"/>
    <w:rsid w:val="00F82F6E"/>
    <w:rsid w:val="00FA631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01E0F-DE30-4B61-991F-91827702B737}"/>
</file>

<file path=customXml/itemProps2.xml><?xml version="1.0" encoding="utf-8"?>
<ds:datastoreItem xmlns:ds="http://schemas.openxmlformats.org/officeDocument/2006/customXml" ds:itemID="{A68FB480-0ECB-496F-A9DA-11668B25E682}"/>
</file>

<file path=customXml/itemProps3.xml><?xml version="1.0" encoding="utf-8"?>
<ds:datastoreItem xmlns:ds="http://schemas.openxmlformats.org/officeDocument/2006/customXml" ds:itemID="{E9E96136-07D4-4E13-9D86-C65E4BA0A1D2}"/>
</file>

<file path=docProps/app.xml><?xml version="1.0" encoding="utf-8"?>
<Properties xmlns="http://schemas.openxmlformats.org/officeDocument/2006/extended-properties" xmlns:vt="http://schemas.openxmlformats.org/officeDocument/2006/docPropsVTypes">
  <Template>Normal.dotm</Template>
  <TotalTime>1</TotalTime>
  <Pages>8</Pages>
  <Words>1856</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3</cp:revision>
  <cp:lastPrinted>2011-04-13T20:03:00Z</cp:lastPrinted>
  <dcterms:created xsi:type="dcterms:W3CDTF">2010-11-29T19:54:00Z</dcterms:created>
  <dcterms:modified xsi:type="dcterms:W3CDTF">2011-04-13T20:03:00Z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10368200</vt:r8>
  </property>
</Properties>
</file>